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BDA22" w14:textId="77777777" w:rsidR="00455D0D" w:rsidRPr="007F4CC8" w:rsidRDefault="00455D0D" w:rsidP="00455D0D">
      <w:pPr>
        <w:pStyle w:val="Annexetitre"/>
        <w:rPr>
          <w:b w:val="0"/>
        </w:rPr>
      </w:pPr>
      <w:r>
        <w:t>PRILOGA X – Navodila za razkritje informacij o proticikličnih kapitalskih blažilnikih</w:t>
      </w:r>
    </w:p>
    <w:p w14:paraId="01BBFD15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23E8C0FC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Predloga EU CCyB1 – Geografska razčlenitev ustreznih kreditnih izpostavljenosti za namene izračuna proticikličnega kapitalskega blažilnika. </w:t>
      </w:r>
      <w:r>
        <w:rPr>
          <w:rFonts w:ascii="Times New Roman" w:hAnsi="Times New Roman"/>
          <w:sz w:val="24"/>
        </w:rPr>
        <w:t xml:space="preserve">Fiksna oblika za stolpce, prilagodljiva oblika za vrstice. </w:t>
      </w:r>
    </w:p>
    <w:p w14:paraId="3340396C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41E7C5B7" w14:textId="473FDA2B" w:rsidR="00455D0D" w:rsidRPr="007F4CC8" w:rsidRDefault="00455D0D" w:rsidP="00455D0D">
      <w:pPr>
        <w:pStyle w:val="ListParagraph"/>
        <w:numPr>
          <w:ilvl w:val="0"/>
          <w:numId w:val="2"/>
        </w:numPr>
        <w:spacing w:before="120"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Institucije razkrijejo informacije iz člena 440, točka (a), Uredbe (EU) št. 575/2013</w:t>
      </w:r>
      <w:r>
        <w:rPr>
          <w:rStyle w:val="FootnoteReference"/>
        </w:rPr>
        <w:footnoteReference w:id="1"/>
      </w:r>
      <w:r>
        <w:rPr>
          <w:rFonts w:ascii="Times New Roman" w:hAnsi="Times New Roman"/>
          <w:sz w:val="24"/>
        </w:rPr>
        <w:t xml:space="preserve"> (CRR) ob upoštevanju navodil iz te priloge za izpolnjevanje predloge EU CCyB1 iz Priloge IX k rešitvam IT EBA. </w:t>
      </w:r>
    </w:p>
    <w:p w14:paraId="7398E361" w14:textId="77777777" w:rsidR="00455D0D" w:rsidRPr="000005E2" w:rsidRDefault="00455D0D" w:rsidP="000005E2">
      <w:pPr>
        <w:pStyle w:val="ListParagraph"/>
        <w:numPr>
          <w:ilvl w:val="0"/>
          <w:numId w:val="2"/>
        </w:numPr>
        <w:spacing w:before="120"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Obseg predloge EU CCyB1 je omejen na ustrezne kreditne izpostavljenosti za namene izračuna proticikličnega blažilnika v skladu s členom 140(4) Direktive 2013/36/EU</w:t>
      </w:r>
      <w:r w:rsidRPr="000005E2">
        <w:rPr>
          <w:rFonts w:ascii="Times New Roman" w:hAnsi="Times New Roman"/>
          <w:sz w:val="24"/>
        </w:rPr>
        <w:footnoteReference w:id="2"/>
      </w:r>
      <w:r>
        <w:rPr>
          <w:rFonts w:ascii="Times New Roman" w:hAnsi="Times New Roman"/>
          <w:sz w:val="24"/>
        </w:rPr>
        <w:t xml:space="preserve"> (CRD).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0A43BEBB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5801A4" w14:textId="77777777" w:rsidR="00455D0D" w:rsidRPr="007F4CC8" w:rsidRDefault="00455D0D" w:rsidP="00D819D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podlaga in navodila</w:t>
            </w:r>
          </w:p>
        </w:tc>
      </w:tr>
      <w:tr w:rsidR="00455D0D" w:rsidRPr="007F4CC8" w14:paraId="5753E80F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3F8D0B7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Številka vrstice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B6BF2F1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Pojasnilo</w:t>
            </w:r>
          </w:p>
        </w:tc>
      </w:tr>
      <w:tr w:rsidR="00455D0D" w:rsidRPr="007F4CC8" w14:paraId="6D5018C1" w14:textId="77777777" w:rsidTr="00D819DE">
        <w:trPr>
          <w:trHeight w:val="4381"/>
        </w:trPr>
        <w:tc>
          <w:tcPr>
            <w:tcW w:w="1384" w:type="dxa"/>
          </w:tcPr>
          <w:p w14:paraId="48FA5F7D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>010–01X</w:t>
            </w:r>
          </w:p>
        </w:tc>
        <w:tc>
          <w:tcPr>
            <w:tcW w:w="7655" w:type="dxa"/>
          </w:tcPr>
          <w:p w14:paraId="482E28A9" w14:textId="77777777" w:rsidR="00455D0D" w:rsidRPr="007F4CC8" w:rsidRDefault="00455D0D" w:rsidP="00D819DE">
            <w:pPr>
              <w:pStyle w:val="Applicationdirecte"/>
              <w:spacing w:before="120"/>
              <w:rPr>
                <w:b/>
              </w:rPr>
            </w:pPr>
            <w:r>
              <w:rPr>
                <w:b/>
              </w:rPr>
              <w:t>Razčlenitev po državah</w:t>
            </w:r>
          </w:p>
          <w:p w14:paraId="2DDAA49A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>Seznam držav, v katerih ima institucija ustrezne kreditne izpostavljenosti za namen izračuna posamezni instituciji lastnega proticikličnega blažilnika v skladu z Delegirano uredbo Komisije (EU) št. 1152/2014</w:t>
            </w:r>
            <w:r>
              <w:rPr>
                <w:rStyle w:val="FootnoteReference"/>
              </w:rPr>
              <w:footnoteReference w:id="3"/>
            </w:r>
            <w:r>
              <w:t>.</w:t>
            </w:r>
          </w:p>
          <w:p w14:paraId="37E96D2E" w14:textId="77777777" w:rsidR="00455D0D" w:rsidRPr="007F4CC8" w:rsidRDefault="00455D0D" w:rsidP="00D819DE">
            <w:pPr>
              <w:pStyle w:val="Fait"/>
              <w:spacing w:after="120"/>
            </w:pPr>
            <w:r>
              <w:t>Število vrstic se lahko razlikuje glede na število držav, v katerih ima institucija ustrezne kreditne izpostavljenosti za namene izračuna proticikličnega blažilnika. Institucije oštevilčijo vrstice zaporedno za vsako državo, pri čemer začnejo z 010.</w:t>
            </w:r>
          </w:p>
          <w:p w14:paraId="110E5142" w14:textId="77777777" w:rsidR="00455D0D" w:rsidRPr="007F4CC8" w:rsidRDefault="00455D0D" w:rsidP="00D819DE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skladu z Delegirano uredbo Komisije (EU) št. 1152/2014 se lahko institucija, če izpostavljenosti v trgovalni knjigi ali tuje kreditne izpostavljenosti predstavljajo manj kot 2 % skupnih tveganju prilagojenih izpostavljenosti, odloči izpostavljenosti razporediti na lokacijo institucije (tj. matično državo članico institucije). Če izpostavljenosti za lokacijo institucije vključujejo izpostavljenosti iz drugih držav, je to jasno navedeno v opombi k predlogi z razkritji.</w:t>
            </w:r>
          </w:p>
        </w:tc>
      </w:tr>
      <w:tr w:rsidR="00455D0D" w:rsidRPr="007F4CC8" w14:paraId="2B7D044A" w14:textId="77777777" w:rsidTr="00D819DE">
        <w:trPr>
          <w:trHeight w:val="316"/>
        </w:trPr>
        <w:tc>
          <w:tcPr>
            <w:tcW w:w="1384" w:type="dxa"/>
          </w:tcPr>
          <w:p w14:paraId="34D2A4C4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020</w:t>
            </w:r>
          </w:p>
        </w:tc>
        <w:tc>
          <w:tcPr>
            <w:tcW w:w="7655" w:type="dxa"/>
          </w:tcPr>
          <w:p w14:paraId="1007C866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Skupaj </w:t>
            </w:r>
          </w:p>
          <w:p w14:paraId="159FB8B0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Vrednost, kot je opisana v skladu s pojasnilom za stolpce a do m te predloge.</w:t>
            </w:r>
          </w:p>
        </w:tc>
      </w:tr>
    </w:tbl>
    <w:p w14:paraId="761A683E" w14:textId="77777777" w:rsidR="00455D0D" w:rsidRPr="007F4CC8" w:rsidRDefault="00455D0D" w:rsidP="00455D0D">
      <w:pPr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0EDEA811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6E1DF8CC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podlaga in navodila</w:t>
            </w:r>
          </w:p>
        </w:tc>
      </w:tr>
      <w:tr w:rsidR="00455D0D" w:rsidRPr="007F4CC8" w14:paraId="40DA12F8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EE254B1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Številka stolpca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BD7CCD7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Pojasnilo</w:t>
            </w:r>
          </w:p>
        </w:tc>
      </w:tr>
      <w:tr w:rsidR="00455D0D" w:rsidRPr="007F4CC8" w14:paraId="2CFE33C2" w14:textId="77777777" w:rsidTr="00D819DE">
        <w:trPr>
          <w:trHeight w:val="841"/>
        </w:trPr>
        <w:tc>
          <w:tcPr>
            <w:tcW w:w="1384" w:type="dxa"/>
          </w:tcPr>
          <w:p w14:paraId="09169D26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>a</w:t>
            </w:r>
          </w:p>
        </w:tc>
        <w:tc>
          <w:tcPr>
            <w:tcW w:w="7655" w:type="dxa"/>
          </w:tcPr>
          <w:p w14:paraId="4397613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Vrednost izpostavljenosti splošnih kreditnih izpostavljenosti po standardiziranem pristopu</w:t>
            </w:r>
          </w:p>
          <w:p w14:paraId="217A6855" w14:textId="77777777" w:rsidR="00455D0D" w:rsidRPr="007F4CC8" w:rsidRDefault="00455D0D" w:rsidP="00D819DE">
            <w:pPr>
              <w:pStyle w:val="Fait"/>
              <w:spacing w:after="120"/>
            </w:pPr>
            <w:r>
              <w:t>Vrednost izpostavljenosti ustreznih kreditnih izpostavljenosti, določena v skladu s členom 140(4)(a) CRD in členom 111 CRR.</w:t>
            </w:r>
          </w:p>
          <w:p w14:paraId="7001526D" w14:textId="77777777" w:rsidR="00455D0D" w:rsidRPr="007F4CC8" w:rsidRDefault="00455D0D" w:rsidP="00D819DE">
            <w:pPr>
              <w:pStyle w:val="Fait"/>
              <w:spacing w:after="120"/>
            </w:pPr>
            <w:r>
              <w:t>Vrednost izpostavljenosti ustreznih kreditnih izpostavljenosti, določena v skladu s členom 140(4)(c) CRD, pri čemer se vrednosti iz člena 248(a) in (c) CRR ne vključijo tukaj, ampak v stolpcu e te predloge.</w:t>
            </w:r>
          </w:p>
          <w:p w14:paraId="7DC41FB9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Geografska razčlenitev se opravi v skladu z Delegirano uredbo Komisije (EU) št. 1152/2014. </w:t>
            </w:r>
          </w:p>
          <w:p w14:paraId="6801ED6C" w14:textId="77777777" w:rsidR="00455D0D" w:rsidRPr="007F4CC8" w:rsidRDefault="00455D0D" w:rsidP="00D819DE">
            <w:pPr>
              <w:pStyle w:val="Fait"/>
              <w:spacing w:after="120"/>
            </w:pPr>
            <w:r>
              <w:t>Vrstica 020 (skupaj): vsota vseh ustreznih kreditnih izpostavljenosti se določi v skladu s členom 140(4)(a) CRD in členom 111 CRR.</w:t>
            </w:r>
          </w:p>
        </w:tc>
      </w:tr>
      <w:tr w:rsidR="00455D0D" w:rsidRPr="007F4CC8" w14:paraId="3E403FD1" w14:textId="77777777" w:rsidTr="00D819DE">
        <w:trPr>
          <w:trHeight w:val="841"/>
        </w:trPr>
        <w:tc>
          <w:tcPr>
            <w:tcW w:w="1384" w:type="dxa"/>
          </w:tcPr>
          <w:p w14:paraId="2F14660E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>b</w:t>
            </w:r>
          </w:p>
        </w:tc>
        <w:tc>
          <w:tcPr>
            <w:tcW w:w="7655" w:type="dxa"/>
          </w:tcPr>
          <w:p w14:paraId="3C9BF2F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Vrednost izpostavljenosti splošnih kreditnih izpostavljenosti po pristopu IRB</w:t>
            </w:r>
          </w:p>
          <w:p w14:paraId="45C5ADD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Vrednost izpostavljenosti ustreznih kreditnih izpostavljenosti, določena v skladu s členom 140(4)(a) CRD in členom 166, 167 in 168 CRR.</w:t>
            </w:r>
          </w:p>
          <w:p w14:paraId="4BAA504B" w14:textId="77777777" w:rsidR="00455D0D" w:rsidRPr="007F4CC8" w:rsidRDefault="00455D0D" w:rsidP="00D819DE">
            <w:pPr>
              <w:pStyle w:val="Fait"/>
              <w:spacing w:after="120"/>
            </w:pPr>
            <w:r>
              <w:t>Vrednost izpostavljenosti ustreznih kreditnih izpostavljenosti, določena v skladu s členom 140(4)(c) CRD, pri čemer se vrednosti iz člena 248(a) in (c) CRR ne vključijo tukaj, ampak v stolpcu e te predloge.</w:t>
            </w:r>
          </w:p>
          <w:p w14:paraId="5FD7228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Geografska razčlenitev se opravi v skladu z Delegirano uredbo Komisije (EU) št. 1152/2014.</w:t>
            </w:r>
          </w:p>
          <w:p w14:paraId="5B53F08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Vrstica 020 (skupaj): vsota vseh ustreznih kreditnih izpostavljenosti se določi v skladu s členom 140(4)(a) CRD in členi 166, 167 ter 168 CRR.</w:t>
            </w:r>
          </w:p>
        </w:tc>
      </w:tr>
      <w:tr w:rsidR="00455D0D" w:rsidRPr="007F4CC8" w14:paraId="2FD82798" w14:textId="77777777" w:rsidTr="00D819DE">
        <w:trPr>
          <w:trHeight w:val="316"/>
        </w:trPr>
        <w:tc>
          <w:tcPr>
            <w:tcW w:w="1384" w:type="dxa"/>
          </w:tcPr>
          <w:p w14:paraId="41DD12A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c </w:t>
            </w:r>
          </w:p>
        </w:tc>
        <w:tc>
          <w:tcPr>
            <w:tcW w:w="7655" w:type="dxa"/>
          </w:tcPr>
          <w:p w14:paraId="5921C02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Vsota dolgih in kratkih pozicij izpostavljenosti v trgovalni knjigi po standardiziranem pristopu</w:t>
            </w:r>
          </w:p>
          <w:p w14:paraId="7ED55B1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Vsota dolgih in kratkih pozicij ustreznih kreditnih izpostavljenosti, določenih v skladu s členom 140(4)(b) CRD, izračunana kot vsota dolgih in kratkih pozicij, določena v skladu s členom 327 CRR.</w:t>
            </w:r>
          </w:p>
          <w:p w14:paraId="5A13EFF9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Geografska razčlenitev se opravi v skladu z Delegirano uredbo Komisije (EU) št. 1152/2014.</w:t>
            </w:r>
          </w:p>
          <w:p w14:paraId="49E9F7E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Vrstica 020 (skupaj): vsota vseh dolgih in kratkih pozicij ustreznih kreditnih izpostavljenosti se določi v skladu s členom 140(4)(b) CRD, izračunana kot vsota dolgih in kratkih pozicij, določena v skladu s členom 327 CRR.</w:t>
            </w:r>
          </w:p>
        </w:tc>
      </w:tr>
      <w:tr w:rsidR="00455D0D" w:rsidRPr="007F4CC8" w14:paraId="6BD777EC" w14:textId="77777777" w:rsidTr="00D819DE">
        <w:trPr>
          <w:trHeight w:val="316"/>
        </w:trPr>
        <w:tc>
          <w:tcPr>
            <w:tcW w:w="1384" w:type="dxa"/>
          </w:tcPr>
          <w:p w14:paraId="1273C16C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655" w:type="dxa"/>
          </w:tcPr>
          <w:p w14:paraId="7DCFFF7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Vrednost izpostavljenosti v trgovalni knjigi po notranjih modelih</w:t>
            </w:r>
          </w:p>
          <w:p w14:paraId="2F891B2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Vsota:</w:t>
            </w:r>
          </w:p>
          <w:p w14:paraId="39E4732D" w14:textId="0D82C43A" w:rsidR="00455D0D" w:rsidRPr="000005E2" w:rsidRDefault="00455D0D" w:rsidP="000005E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05E2">
              <w:rPr>
                <w:rFonts w:ascii="Times New Roman" w:hAnsi="Times New Roman"/>
                <w:sz w:val="24"/>
              </w:rPr>
              <w:t>poštene vrednosti denarnih pozicij, ki predstavljajo ustrezne kreditne izpostavljenosti, kot se določijo v skladu s členom 140(4)(b) CRD in členom 104 CRR;</w:t>
            </w:r>
          </w:p>
          <w:p w14:paraId="0C23596C" w14:textId="7F9B49BD" w:rsidR="00455D0D" w:rsidRPr="000005E2" w:rsidRDefault="00455D0D" w:rsidP="000005E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05E2">
              <w:rPr>
                <w:rFonts w:ascii="Times New Roman" w:hAnsi="Times New Roman"/>
                <w:sz w:val="24"/>
              </w:rPr>
              <w:lastRenderedPageBreak/>
              <w:t>hipotetične vrednosti izvedenih finančnih instrumentov, ki predstavljajo ustrezne kreditne izpostavljenosti, kot se določijo v skladu s členom 140(4)(b) CRD.</w:t>
            </w:r>
          </w:p>
          <w:p w14:paraId="432A301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Geografska razčlenitev se opravi v skladu z Delegirano uredbo Komisije (EU) št. 1152/2014.</w:t>
            </w:r>
          </w:p>
          <w:p w14:paraId="4482DFF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Vrstica 020 (skupaj): Vsota poštenih vrednosti vseh denarnih pozicij, ki predstavljajo ustrezne kreditne izpostavljenosti, se določi v skladu s členom 140(4)(b) CRD in členom 104 CRR, vsota hipotetičnih vrednosti vseh izvedenih finančnih instrumentov, ki predstavljajo ustrezne kreditne izpostavljenosti, pa se določi v skladu s členom 140(4)(b) CRD.</w:t>
            </w:r>
          </w:p>
        </w:tc>
      </w:tr>
      <w:tr w:rsidR="00455D0D" w:rsidRPr="007F4CC8" w14:paraId="0B1D7D40" w14:textId="77777777" w:rsidTr="00D819DE">
        <w:trPr>
          <w:trHeight w:val="316"/>
        </w:trPr>
        <w:tc>
          <w:tcPr>
            <w:tcW w:w="1384" w:type="dxa"/>
          </w:tcPr>
          <w:p w14:paraId="44208D7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e</w:t>
            </w:r>
          </w:p>
        </w:tc>
        <w:tc>
          <w:tcPr>
            <w:tcW w:w="7655" w:type="dxa"/>
          </w:tcPr>
          <w:p w14:paraId="2FE034C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Izpostavljenosti v listinjenju – vrednost izpostavljenosti v netrgovalni knjigi</w:t>
            </w:r>
          </w:p>
          <w:p w14:paraId="475647C8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Vrednost izpostavljenosti ustreznih kreditnih izpostavljenosti, določena v skladu s členom 140(4)(c) CRD in členom 248(a) in (c) CRR.</w:t>
            </w:r>
          </w:p>
          <w:p w14:paraId="540C9D0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Geografska razčlenitev se opravi v skladu z Delegirano uredbo Komisije (EU) št. 1152/2014.</w:t>
            </w:r>
          </w:p>
          <w:p w14:paraId="02F1A39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Vrstica 020 (skupaj): Vsota vseh ustreznih kreditnih izpostavljenosti se določi v skladu s členom 140(4)(c) CRD in členom 248(a) in (c) CRR.</w:t>
            </w:r>
          </w:p>
        </w:tc>
      </w:tr>
      <w:tr w:rsidR="00455D0D" w:rsidRPr="007F4CC8" w14:paraId="1BCFEC03" w14:textId="77777777" w:rsidTr="00D819DE">
        <w:trPr>
          <w:trHeight w:val="695"/>
        </w:trPr>
        <w:tc>
          <w:tcPr>
            <w:tcW w:w="1384" w:type="dxa"/>
          </w:tcPr>
          <w:p w14:paraId="055AA5DF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7655" w:type="dxa"/>
          </w:tcPr>
          <w:p w14:paraId="019A072A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Vrednost skupne izpostavljenosti</w:t>
            </w:r>
          </w:p>
          <w:p w14:paraId="0D119275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Vsota zneskov v stolpcih a, b, c, d in e te predloge.</w:t>
            </w:r>
          </w:p>
          <w:p w14:paraId="762C47E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Vrstica 020 (skupaj): Vsota vseh ustreznih kreditnih izpostavljenosti se določi v skladu s členom 140(4) CRD.</w:t>
            </w:r>
          </w:p>
        </w:tc>
      </w:tr>
      <w:tr w:rsidR="00455D0D" w:rsidRPr="007F4CC8" w14:paraId="133835DF" w14:textId="77777777" w:rsidTr="00D819DE">
        <w:trPr>
          <w:trHeight w:val="695"/>
        </w:trPr>
        <w:tc>
          <w:tcPr>
            <w:tcW w:w="1384" w:type="dxa"/>
          </w:tcPr>
          <w:p w14:paraId="129DFE24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</w:t>
            </w:r>
          </w:p>
        </w:tc>
        <w:tc>
          <w:tcPr>
            <w:tcW w:w="7655" w:type="dxa"/>
          </w:tcPr>
          <w:p w14:paraId="522B76C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Kapitalske zahteve – ustrezne izpostavljenosti kreditnemu tveganju – kreditno tveganje</w:t>
            </w:r>
          </w:p>
          <w:p w14:paraId="6877B57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Kapitalske zahteve za ustrezne kreditne izpostavljenosti v zadevni državi, določene v skladu s členom 140(4)(a) CRD in naslovom II dela 3 CRR ter ob upoštevanju kapitalskih zahtev v zvezi z vsemi za državo specifičnimi prilagoditvami uteži tveganja, določenimi v skladu s členom 458.</w:t>
            </w:r>
          </w:p>
          <w:p w14:paraId="537A3B0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Vrstica 020 (skupaj): Vsota vseh kapitalskih zahtev za ustrezne kreditne izpostavljenosti se določi v skladu s členom 140(4)(a) CRD in naslovom II dela 3 CRR.</w:t>
            </w:r>
          </w:p>
        </w:tc>
      </w:tr>
      <w:tr w:rsidR="00455D0D" w:rsidRPr="007F4CC8" w14:paraId="6FF64630" w14:textId="77777777" w:rsidTr="00D819DE">
        <w:trPr>
          <w:trHeight w:val="695"/>
        </w:trPr>
        <w:tc>
          <w:tcPr>
            <w:tcW w:w="1384" w:type="dxa"/>
          </w:tcPr>
          <w:p w14:paraId="6E775ED0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</w:t>
            </w:r>
          </w:p>
        </w:tc>
        <w:tc>
          <w:tcPr>
            <w:tcW w:w="7655" w:type="dxa"/>
          </w:tcPr>
          <w:p w14:paraId="747D313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Kapitalske zahteve – ustrezne kreditne izpostavljenosti – tržno tveganje </w:t>
            </w:r>
          </w:p>
          <w:p w14:paraId="01D71615" w14:textId="77777777" w:rsidR="00455D0D" w:rsidRPr="007F4CC8" w:rsidRDefault="00455D0D" w:rsidP="00D819DE">
            <w:pPr>
              <w:pStyle w:val="Fait"/>
              <w:spacing w:after="120"/>
            </w:pPr>
            <w:r>
              <w:t>Kapitalske zahteve za ustrezne kreditne izpostavljenosti v zadevni državi, določene v skladu s členom 140(4)(b) CRD in poglavjem 2 naslova IV dela 3 CRR za specifično tveganje ali v skladu s poglavjem 5 naslova IV dela 3 CRR za presežno tveganje neplačila in migracije.</w:t>
            </w:r>
          </w:p>
          <w:p w14:paraId="3376CF2A" w14:textId="77777777" w:rsidR="00455D0D" w:rsidRPr="007F4CC8" w:rsidRDefault="00455D0D" w:rsidP="00D819DE">
            <w:pPr>
              <w:pStyle w:val="Fait"/>
              <w:spacing w:after="120"/>
            </w:pPr>
            <w:r>
              <w:t>Vrstica 020 (skupaj): Vsota vseh kapitalskih zahtev za ustrezne kreditne izpostavljenosti se določi v skladu s členom 140(4)(b) CRD in poglavjem 2 naslova IV dela 3 CRR za specifično tveganje ali v skladu s poglavjem 5 naslova IV dela 3 CRR za presežno tveganje neplačila in migracije.</w:t>
            </w:r>
          </w:p>
        </w:tc>
      </w:tr>
      <w:tr w:rsidR="00455D0D" w:rsidRPr="007F4CC8" w14:paraId="091E5047" w14:textId="77777777" w:rsidTr="00D819DE">
        <w:trPr>
          <w:trHeight w:val="695"/>
        </w:trPr>
        <w:tc>
          <w:tcPr>
            <w:tcW w:w="1384" w:type="dxa"/>
          </w:tcPr>
          <w:p w14:paraId="55EF9EAA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</w:t>
            </w:r>
          </w:p>
        </w:tc>
        <w:tc>
          <w:tcPr>
            <w:tcW w:w="7655" w:type="dxa"/>
          </w:tcPr>
          <w:p w14:paraId="64A6CA14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Kapitalske zahteve – ustrezne kreditne izpostavljenosti – pozicije v listinjenju v netrgovalni knjigi </w:t>
            </w:r>
          </w:p>
          <w:p w14:paraId="6DA357C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Kapitalske zahteve za ustrezne kreditne izpostavljenosti v zadevni državi, določene v skladu s členom 140(4)(c) CRD in poglavjem 5 naslova II dela 3 CRR.</w:t>
            </w:r>
          </w:p>
          <w:p w14:paraId="2E6C3AF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Vrstica 020 (skupaj): vsota vseh kapitalskih zahtev za ustrezne kreditne izpostavljenosti se določi v skladu s členom 140(4)(c) CRD in poglavjem 5 naslova II dela 3 CRR.</w:t>
            </w:r>
          </w:p>
        </w:tc>
      </w:tr>
      <w:tr w:rsidR="00455D0D" w:rsidRPr="007F4CC8" w14:paraId="1B31BDF8" w14:textId="77777777" w:rsidTr="00D819DE">
        <w:trPr>
          <w:trHeight w:val="695"/>
        </w:trPr>
        <w:tc>
          <w:tcPr>
            <w:tcW w:w="1384" w:type="dxa"/>
          </w:tcPr>
          <w:p w14:paraId="6AFA58A8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</w:t>
            </w:r>
          </w:p>
        </w:tc>
        <w:tc>
          <w:tcPr>
            <w:tcW w:w="7655" w:type="dxa"/>
          </w:tcPr>
          <w:p w14:paraId="21280CF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Kapitalske zahteve – skupaj</w:t>
            </w:r>
          </w:p>
          <w:p w14:paraId="1885EA7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Vsota zneskov v stolpcih g, h in i te predloge.</w:t>
            </w:r>
          </w:p>
          <w:p w14:paraId="647FF04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Vrstica 020 (skupaj): vsota vseh kapitalskih zahtev za ustrezne kreditne izpostavljenosti se določi v skladu s členom 140(4) CRD.</w:t>
            </w:r>
          </w:p>
        </w:tc>
      </w:tr>
      <w:tr w:rsidR="00455D0D" w:rsidRPr="007F4CC8" w14:paraId="53136553" w14:textId="77777777" w:rsidTr="00D819DE">
        <w:trPr>
          <w:trHeight w:val="695"/>
        </w:trPr>
        <w:tc>
          <w:tcPr>
            <w:tcW w:w="1384" w:type="dxa"/>
          </w:tcPr>
          <w:p w14:paraId="5E519554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</w:t>
            </w:r>
          </w:p>
        </w:tc>
        <w:tc>
          <w:tcPr>
            <w:tcW w:w="7655" w:type="dxa"/>
          </w:tcPr>
          <w:p w14:paraId="7ADAA73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Zneski tveganju prilagojenih izpostavljenosti</w:t>
            </w:r>
          </w:p>
          <w:p w14:paraId="314E7BF8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Zneski tveganju prilagojenih izpostavljenosti za ustrezne kreditne izpostavljenosti, določene v skladu s členom 140(4) CRD, razčlenjeni po državah in ob upoštevanju za države specifičnih prilagoditev uteži tveganja, določenih v skladu s členom 458 CRR.</w:t>
            </w:r>
          </w:p>
          <w:p w14:paraId="2AF6A48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Vrstica 020 (skupaj): vsota vseh zneskov tveganju prilagojenih izpostavljenosti za ustrezne kreditne izpostavljenosti se določi v skladu s členom 140(4) CRD.</w:t>
            </w:r>
          </w:p>
        </w:tc>
      </w:tr>
      <w:tr w:rsidR="00455D0D" w:rsidRPr="007F4CC8" w14:paraId="69E793ED" w14:textId="77777777" w:rsidTr="00D819DE">
        <w:trPr>
          <w:trHeight w:val="695"/>
        </w:trPr>
        <w:tc>
          <w:tcPr>
            <w:tcW w:w="1384" w:type="dxa"/>
          </w:tcPr>
          <w:p w14:paraId="2A231285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</w:t>
            </w:r>
          </w:p>
        </w:tc>
        <w:tc>
          <w:tcPr>
            <w:tcW w:w="7655" w:type="dxa"/>
          </w:tcPr>
          <w:p w14:paraId="1E8A4B5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Uteži kapitalskih zahtev (%)</w:t>
            </w:r>
          </w:p>
          <w:p w14:paraId="3A7905F9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Utež, ki se uporablja za stopnjo proticikličnega blažilnika v posamezni državi, izračunana kot skupna kapitalska zahteva, ki se nanaša na ustrezne kreditne izpostavljenosti v zadevni državi (vrstica 01X, stolpec j te predloge), deljena s skupno kapitalsko zahtevo, ki se nanaša na vse ustrezne kreditne izpostavljenosti za namene izračuna proticikličnega blažilnika v skladu s členom 140(4) CRD (vrstica 020, stolpec j te predloge).</w:t>
            </w:r>
          </w:p>
          <w:p w14:paraId="4FE6F23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 vrednost se razkrije kot odstotek, zaokrožen na dve decimalni mesti.</w:t>
            </w:r>
          </w:p>
        </w:tc>
      </w:tr>
      <w:tr w:rsidR="00455D0D" w:rsidRPr="007F4CC8" w14:paraId="78993D09" w14:textId="77777777" w:rsidTr="00D819DE">
        <w:trPr>
          <w:trHeight w:val="695"/>
        </w:trPr>
        <w:tc>
          <w:tcPr>
            <w:tcW w:w="1384" w:type="dxa"/>
          </w:tcPr>
          <w:p w14:paraId="7422EAC6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</w:p>
        </w:tc>
        <w:tc>
          <w:tcPr>
            <w:tcW w:w="7655" w:type="dxa"/>
          </w:tcPr>
          <w:p w14:paraId="7A959B8C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Stopnja proticikličnega kapitalskega blažilnika (%)</w:t>
            </w:r>
          </w:p>
          <w:p w14:paraId="587D402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Stopnja proticikličnega kapitalskega blažilnika, ki se uporablja v zadevni državi ter je določena v skladu s členi 136, 137, 138 in 139 CRD.</w:t>
            </w:r>
          </w:p>
          <w:p w14:paraId="5813AAA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 stolpec ne vključuje stopenj proticikličnega kapitalskega blažilnika, ki so bile določene, vendar se še ne uporabljajo v času izračuna posamezni instituciji lastnega proticikličnega kapitalskega blažilnika, na katerega se razkritje nanaša.</w:t>
            </w:r>
          </w:p>
          <w:p w14:paraId="0585C9B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 vrednost se razkrije kot odstotek, zaokrožen na enako število decimalnih mest, kakor je določeno v skladu s členi 136, 137, 138 in 139 CRD.</w:t>
            </w:r>
          </w:p>
        </w:tc>
      </w:tr>
    </w:tbl>
    <w:p w14:paraId="29C77942" w14:textId="77777777" w:rsidR="00455D0D" w:rsidRPr="007F4CC8" w:rsidRDefault="00455D0D" w:rsidP="00455D0D">
      <w:pPr>
        <w:jc w:val="both"/>
        <w:rPr>
          <w:rFonts w:ascii="Times New Roman" w:hAnsi="Times New Roman" w:cs="Times New Roman"/>
          <w:sz w:val="24"/>
        </w:rPr>
      </w:pPr>
    </w:p>
    <w:p w14:paraId="64839D89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Predloga EU CCyB2 – Znesek instituciji lastnega proticikličnega kapitalskega blažilnika</w:t>
      </w:r>
    </w:p>
    <w:p w14:paraId="283F7254" w14:textId="77777777" w:rsidR="00455D0D" w:rsidRPr="007F4CC8" w:rsidRDefault="00455D0D" w:rsidP="00455D0D">
      <w:pPr>
        <w:pStyle w:val="ListParagraph"/>
        <w:numPr>
          <w:ilvl w:val="0"/>
          <w:numId w:val="2"/>
        </w:numPr>
        <w:spacing w:before="120" w:after="120"/>
        <w:ind w:left="425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Institucije razkrijejo informacije iz člena 440(b) CRR ob upoštevanju navodil iz te priloge za izpolnjevanje predloge EU CCyB2 iz Priloge IX k tej izvedbeni uredbi.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360D0819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11C706" w14:textId="77777777" w:rsidR="00455D0D" w:rsidRPr="007F4CC8" w:rsidRDefault="00455D0D" w:rsidP="00D819D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Pravna podlaga in navodila</w:t>
            </w:r>
          </w:p>
        </w:tc>
      </w:tr>
      <w:tr w:rsidR="00455D0D" w:rsidRPr="007F4CC8" w14:paraId="658922CA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CFC758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Številka vrstice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C35C310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Pojasnilo</w:t>
            </w:r>
          </w:p>
        </w:tc>
      </w:tr>
      <w:tr w:rsidR="00455D0D" w:rsidRPr="007F4CC8" w14:paraId="32D19805" w14:textId="77777777" w:rsidTr="00D819DE">
        <w:trPr>
          <w:trHeight w:val="1055"/>
        </w:trPr>
        <w:tc>
          <w:tcPr>
            <w:tcW w:w="1384" w:type="dxa"/>
          </w:tcPr>
          <w:p w14:paraId="59088176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>1</w:t>
            </w:r>
          </w:p>
        </w:tc>
        <w:tc>
          <w:tcPr>
            <w:tcW w:w="7655" w:type="dxa"/>
          </w:tcPr>
          <w:p w14:paraId="365B8327" w14:textId="77777777" w:rsidR="00455D0D" w:rsidRPr="007F4CC8" w:rsidRDefault="00455D0D" w:rsidP="00D819DE">
            <w:pPr>
              <w:pStyle w:val="Applicationdirecte"/>
              <w:spacing w:before="120"/>
              <w:rPr>
                <w:b/>
              </w:rPr>
            </w:pPr>
            <w:r>
              <w:rPr>
                <w:b/>
              </w:rPr>
              <w:t>Znesek skupne izpostavljenosti tveganju</w:t>
            </w:r>
          </w:p>
          <w:p w14:paraId="6FC34F99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Znesek skupne izpostavljenosti tveganju, izračunan v skladu s členom 92(3) CRR.</w:t>
            </w:r>
          </w:p>
        </w:tc>
      </w:tr>
      <w:tr w:rsidR="00455D0D" w:rsidRPr="007F4CC8" w14:paraId="768C2D66" w14:textId="77777777" w:rsidTr="00D819DE">
        <w:trPr>
          <w:trHeight w:val="316"/>
        </w:trPr>
        <w:tc>
          <w:tcPr>
            <w:tcW w:w="1384" w:type="dxa"/>
          </w:tcPr>
          <w:p w14:paraId="2DC1BFF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655" w:type="dxa"/>
          </w:tcPr>
          <w:p w14:paraId="7CEE8A38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Stopnja posamezni instituciji lastnega proticikličnega kapitalskega blažilnika </w:t>
            </w:r>
          </w:p>
          <w:p w14:paraId="66399395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Stopnja posamezni instituciji lastnega proticikličnega kapitalskega blažilnika, določena v skladu s členom 140(1) CRD. </w:t>
            </w:r>
          </w:p>
          <w:p w14:paraId="49DFA41A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Stopnja posamezni instituciji lastnega proticikličnega kapitalskega blažilnika se izračuna kot tehtano povprečje stopenj proticikličnega blažilnika, ki se uporabljajo v državah, v katerih se nahajajo ustrezne kreditne izpostavljenosti institucije, iz vrstic 010.1 do 010.X stolpca m predloge EU CCyB1.</w:t>
            </w:r>
          </w:p>
          <w:p w14:paraId="23A765A5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Utež, ki se uporabi za stopnjo proticikličnega blažilnika v vsaki državi, je delež kapitalskih zahtev v skupnih kapitalskih zahtevah in se poroča v stolpcu l predloge EU CCyB1. </w:t>
            </w:r>
          </w:p>
          <w:p w14:paraId="67F3298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 vrednost se razkrije kot odstotek, zaokrožen na dve decimalni mesti.</w:t>
            </w:r>
          </w:p>
        </w:tc>
      </w:tr>
      <w:tr w:rsidR="00455D0D" w:rsidRPr="007F4CC8" w14:paraId="44E7A9FA" w14:textId="77777777" w:rsidTr="00D819DE">
        <w:trPr>
          <w:trHeight w:val="316"/>
        </w:trPr>
        <w:tc>
          <w:tcPr>
            <w:tcW w:w="1384" w:type="dxa"/>
          </w:tcPr>
          <w:p w14:paraId="7AB6A5B3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655" w:type="dxa"/>
          </w:tcPr>
          <w:p w14:paraId="4BFFC9C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Zahteva za posamezni instituciji lasten proticiklični kapitalski blažilnik</w:t>
            </w:r>
          </w:p>
          <w:p w14:paraId="2EEC939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Zahteva za posamezni instituciji lasten proticiklični kapitalski blažilnik, izračunana kot stopnja posamezni instituciji lastnega proticikličnega blažilnika, kot se razkrije v vrstici 2 te predloge, uporabljena za znesek skupne izpostavljenosti tveganju, kot se razkrije v vrstici 1 te predloge.</w:t>
            </w:r>
          </w:p>
        </w:tc>
      </w:tr>
    </w:tbl>
    <w:p w14:paraId="0670C1A7" w14:textId="77777777" w:rsidR="00455D0D" w:rsidRPr="007F4CC8" w:rsidRDefault="00455D0D" w:rsidP="00455D0D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5C8A2212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C1D160" w14:textId="77777777" w:rsidR="00455D0D" w:rsidRPr="007F4CC8" w:rsidRDefault="00455D0D" w:rsidP="00D819DE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Pravna podlaga in navodila</w:t>
            </w:r>
          </w:p>
        </w:tc>
      </w:tr>
      <w:tr w:rsidR="00455D0D" w:rsidRPr="007F4CC8" w14:paraId="3AE40F7E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A49F058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Številka stolpca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19637B6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Pojasnilo</w:t>
            </w:r>
          </w:p>
        </w:tc>
      </w:tr>
      <w:tr w:rsidR="00455D0D" w:rsidRPr="007F4CC8" w14:paraId="6D043B5C" w14:textId="77777777" w:rsidTr="00D819DE">
        <w:trPr>
          <w:trHeight w:val="703"/>
        </w:trPr>
        <w:tc>
          <w:tcPr>
            <w:tcW w:w="1384" w:type="dxa"/>
          </w:tcPr>
          <w:p w14:paraId="5A332E76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>a</w:t>
            </w:r>
          </w:p>
        </w:tc>
        <w:tc>
          <w:tcPr>
            <w:tcW w:w="7655" w:type="dxa"/>
          </w:tcPr>
          <w:p w14:paraId="788A4EF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Vrednost, kot je opisana v skladu s pojasnilom za vrstice 1 do 3 te predloge.</w:t>
            </w:r>
          </w:p>
        </w:tc>
      </w:tr>
    </w:tbl>
    <w:p w14:paraId="56662C56" w14:textId="77777777" w:rsidR="004E3F4D" w:rsidRDefault="004E3F4D"/>
    <w:sectPr w:rsidR="004E3F4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BB986" w14:textId="77777777" w:rsidR="00DE3BED" w:rsidRDefault="00DE3BED" w:rsidP="00455D0D">
      <w:r>
        <w:separator/>
      </w:r>
    </w:p>
  </w:endnote>
  <w:endnote w:type="continuationSeparator" w:id="0">
    <w:p w14:paraId="318E4105" w14:textId="77777777" w:rsidR="00DE3BED" w:rsidRDefault="00DE3BED" w:rsidP="00455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41761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E8034C" w14:textId="77777777" w:rsidR="00455D0D" w:rsidRDefault="00455D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14:paraId="3FD3665B" w14:textId="77777777" w:rsidR="00455D0D" w:rsidRDefault="00455D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C2C4D" w14:textId="77777777" w:rsidR="00DE3BED" w:rsidRDefault="00DE3BED" w:rsidP="00455D0D">
      <w:r>
        <w:separator/>
      </w:r>
    </w:p>
  </w:footnote>
  <w:footnote w:type="continuationSeparator" w:id="0">
    <w:p w14:paraId="72D34102" w14:textId="77777777" w:rsidR="00DE3BED" w:rsidRDefault="00DE3BED" w:rsidP="00455D0D">
      <w:r>
        <w:continuationSeparator/>
      </w:r>
    </w:p>
  </w:footnote>
  <w:footnote w:id="1">
    <w:p w14:paraId="424F9A4F" w14:textId="41D55D5F" w:rsidR="00455D0D" w:rsidRPr="00222AAB" w:rsidRDefault="00455D0D" w:rsidP="00455D0D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 xml:space="preserve">Uredba (EU) št. 575/2013 Evropskega parlamenta in Sveta z dne 26. junija 2013 o bonitetnih zahtevah za kreditne institucije in o spremembi Uredbe (EU) št. 648/2012, kot je bila spremenjena z Uredbo (EU) 2024/1623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UL L 176, 27.6.2013, str. 1</w:t>
        </w:r>
      </w:hyperlink>
      <w:r>
        <w:t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>Uredba - EU - 2024/1623 - SL - EUR-Lex (europa.eu)</w:t>
        </w:r>
      </w:hyperlink>
      <w:r>
        <w:rPr>
          <w:color w:val="444444"/>
        </w:rPr>
        <w:t>)</w:t>
      </w:r>
      <w:r>
        <w:t>.</w:t>
      </w:r>
    </w:p>
  </w:footnote>
  <w:footnote w:id="2">
    <w:p w14:paraId="02DF96C7" w14:textId="697CF201" w:rsidR="00455D0D" w:rsidRPr="00222AAB" w:rsidRDefault="00455D0D" w:rsidP="00455D0D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>Direktiva 2013/36/EU Evropskega parlamenta in Sveta z dne 26. junija 2013 o dostopu do dejavnosti kreditnih institucij in bonitetnem nadzoru kreditnih institucij, spremembi Direktive 2002/87/ES ter razveljavitvi direktiv 2006/48/ES in 2006/49/ES</w:t>
      </w:r>
      <w:r>
        <w:rPr>
          <w:rFonts w:ascii="Roboto" w:hAnsi="Roboto"/>
          <w:b/>
          <w:color w:val="333333"/>
          <w:sz w:val="21"/>
          <w:shd w:val="clear" w:color="auto" w:fill="FFFFFF"/>
        </w:rPr>
        <w:t xml:space="preserve"> </w:t>
      </w:r>
      <w:r>
        <w:t>(UL L 176, 27.6.2013, str. 338).</w:t>
      </w:r>
    </w:p>
  </w:footnote>
  <w:footnote w:id="3">
    <w:p w14:paraId="56A80E1C" w14:textId="77777777" w:rsidR="00455D0D" w:rsidRPr="00222AAB" w:rsidRDefault="00455D0D" w:rsidP="00455D0D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</w:r>
      <w:r>
        <w:t>DELEGIRANA UREDBA KOMISIJE (EU) št. 1152/2014 z dne 4. junija 2014 o dopolnitvi Direktive 2013/36/EU Evropskega parlamenta in Sveta v zvezi z regulativnimi tehničnimi standardi za določitev geografske lokacije ustreznih kreditnih izpostavljenosti za izračun stopenj posamezni instituciji lastnega proticikličnega kapitalskega blažilnika (UL L 309, 30.10.2014, str. 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7110C" w14:textId="302A6D63" w:rsidR="00B80E57" w:rsidRDefault="00B80E5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6B32C67" wp14:editId="37755B9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307149112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5DDAC7" w14:textId="1B9EDF09" w:rsidR="00B80E57" w:rsidRPr="00B80E57" w:rsidRDefault="00B80E57" w:rsidP="00B80E5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6B32C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305DDAC7" w14:textId="1B9EDF09" w:rsidR="00B80E57" w:rsidRPr="00B80E57" w:rsidRDefault="00B80E57" w:rsidP="00B80E5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15223" w14:textId="311AC12A" w:rsidR="00B80E57" w:rsidRDefault="00B80E5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A713163" wp14:editId="05937118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451469576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2830DF" w14:textId="79E7B8D2" w:rsidR="00B80E57" w:rsidRPr="00B80E57" w:rsidRDefault="00B80E57" w:rsidP="00B80E5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A71316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2D2830DF" w14:textId="79E7B8D2" w:rsidR="00B80E57" w:rsidRPr="00B80E57" w:rsidRDefault="00B80E57" w:rsidP="00B80E5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B230" w14:textId="56076649" w:rsidR="00B80E57" w:rsidRDefault="00B80E5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4EBD702" wp14:editId="28C21A7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898049557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46B1BF" w14:textId="5B1DD12A" w:rsidR="00B80E57" w:rsidRPr="00B80E57" w:rsidRDefault="00B80E57" w:rsidP="00B80E5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4EBD70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4846B1BF" w14:textId="5B1DD12A" w:rsidR="00B80E57" w:rsidRPr="00B80E57" w:rsidRDefault="00B80E57" w:rsidP="00B80E5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6367A"/>
    <w:multiLevelType w:val="hybridMultilevel"/>
    <w:tmpl w:val="2B98C612"/>
    <w:lvl w:ilvl="0" w:tplc="4C245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4A11E">
      <w:start w:val="130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3409C1"/>
    <w:multiLevelType w:val="hybridMultilevel"/>
    <w:tmpl w:val="1D9ADDB4"/>
    <w:lvl w:ilvl="0" w:tplc="9E3CF24E">
      <w:start w:val="1"/>
      <w:numFmt w:val="bullet"/>
      <w:lvlText w:val="–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F1B0208"/>
    <w:multiLevelType w:val="hybridMultilevel"/>
    <w:tmpl w:val="050269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641234">
    <w:abstractNumId w:val="0"/>
  </w:num>
  <w:num w:numId="2" w16cid:durableId="2049378505">
    <w:abstractNumId w:val="2"/>
  </w:num>
  <w:num w:numId="3" w16cid:durableId="2033453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B1793"/>
    <w:rsid w:val="000005E2"/>
    <w:rsid w:val="00383B86"/>
    <w:rsid w:val="00455D0D"/>
    <w:rsid w:val="004E3F4D"/>
    <w:rsid w:val="0079468D"/>
    <w:rsid w:val="008B1793"/>
    <w:rsid w:val="00B80E57"/>
    <w:rsid w:val="00DE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BEAB9"/>
  <w15:chartTrackingRefBased/>
  <w15:docId w15:val="{39071AB2-44A9-4C0E-9939-9ACAB36C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D0D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455D0D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455D0D"/>
    <w:rPr>
      <w:rFonts w:eastAsiaTheme="minorEastAsia"/>
      <w:sz w:val="18"/>
      <w:szCs w:val="18"/>
      <w:lang w:val="sl-SI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455D0D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455D0D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455D0D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455D0D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455D0D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455D0D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455D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D0D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455D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5D0D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SL/TXT/?uri=OJ:L_202401623" TargetMode="External"/><Relationship Id="rId1" Type="http://schemas.openxmlformats.org/officeDocument/2006/relationships/hyperlink" Target="https://eur-lex.europa.eu/legal-content/SL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D20FE3-051C-4166-9180-C13098A76C3A}"/>
</file>

<file path=customXml/itemProps2.xml><?xml version="1.0" encoding="utf-8"?>
<ds:datastoreItem xmlns:ds="http://schemas.openxmlformats.org/officeDocument/2006/customXml" ds:itemID="{3EE04DCF-ABDE-4780-8689-5E87C0012E91}"/>
</file>

<file path=customXml/itemProps3.xml><?xml version="1.0" encoding="utf-8"?>
<ds:datastoreItem xmlns:ds="http://schemas.openxmlformats.org/officeDocument/2006/customXml" ds:itemID="{0262887E-AC12-4EE1-AEBC-3DCCBF88E0BC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1454</Words>
  <Characters>8858</Characters>
  <Application>Microsoft Office Word</Application>
  <DocSecurity>0</DocSecurity>
  <Lines>206</Lines>
  <Paragraphs>118</Paragraphs>
  <ScaleCrop>false</ScaleCrop>
  <Company>European Banking Authority</Company>
  <LinksUpToDate>false</LinksUpToDate>
  <CharactersWithSpaces>10194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VOLAVSEK Andrej (DGT)</cp:lastModifiedBy>
  <cp:revision>5</cp:revision>
  <dcterms:created xsi:type="dcterms:W3CDTF">2021-03-11T11:56:00Z</dcterms:created>
  <dcterms:modified xsi:type="dcterms:W3CDTF">2024-10-17T09:10:00Z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35872615,124eb938,1ae8e108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2024-09-26T14:43:39Z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5a99a6ec-7d0f-4ccb-8b43-056eaab9821e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